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18A344" w14:textId="77777777" w:rsidR="00370303" w:rsidRPr="00C517AD" w:rsidRDefault="00370303" w:rsidP="00370303">
      <w:pPr>
        <w:rPr>
          <w:rFonts w:ascii="Arial" w:hAnsi="Arial" w:cs="Arial"/>
          <w:b/>
          <w:bCs/>
          <w:i/>
          <w:iCs/>
          <w:color w:val="FF0000"/>
          <w:sz w:val="24"/>
          <w:szCs w:val="24"/>
        </w:rPr>
      </w:pPr>
      <w:r w:rsidRPr="00C517AD">
        <w:rPr>
          <w:rFonts w:ascii="Arial" w:hAnsi="Arial" w:cs="Arial"/>
          <w:b/>
          <w:bCs/>
          <w:i/>
          <w:iCs/>
          <w:color w:val="FF0000"/>
          <w:sz w:val="24"/>
          <w:szCs w:val="24"/>
        </w:rPr>
        <w:t>1.3.1 Institution integrates crosscutting issues relevant to Professional Ethics, Gender, Human Values, Environment and Sustainability into the Curriculum</w:t>
      </w:r>
      <w:r>
        <w:rPr>
          <w:rFonts w:ascii="Arial" w:hAnsi="Arial" w:cs="Arial"/>
          <w:b/>
          <w:bCs/>
          <w:i/>
          <w:iCs/>
          <w:color w:val="FF0000"/>
          <w:sz w:val="24"/>
          <w:szCs w:val="24"/>
        </w:rPr>
        <w:t xml:space="preserve"> (500 words)</w:t>
      </w:r>
    </w:p>
    <w:p w14:paraId="4F3C4091" w14:textId="77777777" w:rsidR="00370303" w:rsidRPr="00C517AD" w:rsidRDefault="00370303" w:rsidP="00370303">
      <w:pPr>
        <w:rPr>
          <w:rFonts w:ascii="Arial" w:hAnsi="Arial" w:cs="Arial"/>
          <w:sz w:val="24"/>
          <w:szCs w:val="24"/>
        </w:rPr>
      </w:pPr>
    </w:p>
    <w:p w14:paraId="5585E4D9" w14:textId="77777777" w:rsidR="00370303" w:rsidRPr="00C517AD" w:rsidRDefault="00370303" w:rsidP="00370303">
      <w:pPr>
        <w:spacing w:after="120" w:line="312" w:lineRule="auto"/>
        <w:rPr>
          <w:rFonts w:ascii="Arial" w:hAnsi="Arial" w:cs="Arial"/>
          <w:sz w:val="24"/>
          <w:szCs w:val="24"/>
        </w:rPr>
      </w:pPr>
      <w:r w:rsidRPr="00C517AD">
        <w:rPr>
          <w:rFonts w:ascii="Arial" w:hAnsi="Arial" w:cs="Arial"/>
          <w:sz w:val="24"/>
          <w:szCs w:val="24"/>
        </w:rPr>
        <w:t>The academic programmes of HBNI are primarily designed to develop human resources in the domain of nuclear science and technology and allied subjects including mathematics. However, in order to enable a wholesome development of the student, HBNI provides exposure to important issues such as gender sensitivity, consciousness of environment, sustainability and most importantly, professional ethics.</w:t>
      </w:r>
    </w:p>
    <w:p w14:paraId="0CA9416F" w14:textId="77777777" w:rsidR="00370303" w:rsidRPr="00C517AD" w:rsidRDefault="00370303" w:rsidP="00370303">
      <w:pPr>
        <w:spacing w:after="120" w:line="312" w:lineRule="auto"/>
        <w:rPr>
          <w:rFonts w:ascii="Arial" w:eastAsia="Times New Roman" w:hAnsi="Arial" w:cs="Arial"/>
          <w:color w:val="000000"/>
          <w:sz w:val="24"/>
          <w:szCs w:val="24"/>
          <w:lang w:eastAsia="en-IN"/>
        </w:rPr>
      </w:pPr>
      <w:r w:rsidRPr="00C517AD">
        <w:rPr>
          <w:rFonts w:ascii="Arial" w:eastAsia="Times New Roman" w:hAnsi="Arial" w:cs="Arial"/>
          <w:color w:val="000000"/>
          <w:sz w:val="24"/>
          <w:szCs w:val="24"/>
          <w:lang w:eastAsia="en-IN"/>
        </w:rPr>
        <w:t xml:space="preserve">In order to create the right </w:t>
      </w:r>
      <w:proofErr w:type="gramStart"/>
      <w:r w:rsidRPr="00C517AD">
        <w:rPr>
          <w:rFonts w:ascii="Arial" w:eastAsia="Times New Roman" w:hAnsi="Arial" w:cs="Arial"/>
          <w:color w:val="000000"/>
          <w:sz w:val="24"/>
          <w:szCs w:val="24"/>
          <w:lang w:eastAsia="en-IN"/>
        </w:rPr>
        <w:t>mind</w:t>
      </w:r>
      <w:proofErr w:type="gramEnd"/>
      <w:r w:rsidRPr="00C517AD">
        <w:rPr>
          <w:rFonts w:ascii="Arial" w:eastAsia="Times New Roman" w:hAnsi="Arial" w:cs="Arial"/>
          <w:color w:val="000000"/>
          <w:sz w:val="24"/>
          <w:szCs w:val="24"/>
          <w:lang w:eastAsia="en-IN"/>
        </w:rPr>
        <w:t xml:space="preserve"> set among the students towards issues related to gender, CIs organise lectures by experts in the field of gender sensitization. Lectures by senior scientists are also organised to educate the students about ethical practices in the conduct of scientific research. Some of the issues covered are plagiarism (including self-plagiarism) and attributing authorship of papers to individuals who have not contributed. Additionally, workshops are conducted with the help of Administrative Training Institute of DAE to brief students as well as faculty about correct and ethical practices. </w:t>
      </w:r>
      <w:r w:rsidRPr="00C517AD">
        <w:rPr>
          <w:rFonts w:ascii="Arial" w:hAnsi="Arial" w:cs="Arial"/>
          <w:sz w:val="24"/>
          <w:szCs w:val="24"/>
        </w:rPr>
        <w:t xml:space="preserve">The curriculum for research students includes a mandatory course on Research Methodology, which </w:t>
      </w:r>
      <w:r w:rsidRPr="00C517AD">
        <w:rPr>
          <w:rFonts w:ascii="Arial" w:eastAsia="Times New Roman" w:hAnsi="Arial" w:cs="Arial"/>
          <w:color w:val="000000"/>
          <w:sz w:val="24"/>
          <w:szCs w:val="24"/>
          <w:lang w:eastAsia="en-IN"/>
        </w:rPr>
        <w:t>is designed to include aspects of professional ethics.</w:t>
      </w:r>
      <w:r w:rsidRPr="00C517AD">
        <w:rPr>
          <w:rFonts w:ascii="Arial" w:hAnsi="Arial" w:cs="Arial"/>
          <w:sz w:val="24"/>
          <w:szCs w:val="24"/>
        </w:rPr>
        <w:t xml:space="preserve"> This course also touches upon issues of morality and related Human values. For issues pertaining to the gender sensitivity and environment and sustainability, various related activities (</w:t>
      </w:r>
      <w:r>
        <w:rPr>
          <w:rFonts w:ascii="Arial" w:hAnsi="Arial" w:cs="Arial"/>
          <w:sz w:val="24"/>
          <w:szCs w:val="24"/>
        </w:rPr>
        <w:t xml:space="preserve">International </w:t>
      </w:r>
      <w:r w:rsidRPr="00C517AD">
        <w:rPr>
          <w:rFonts w:ascii="Arial" w:hAnsi="Arial" w:cs="Arial"/>
          <w:sz w:val="24"/>
          <w:szCs w:val="24"/>
        </w:rPr>
        <w:t>women’s day celebration, tree plantation, and cleanliness drives) are regularly organized for students and faculty members.</w:t>
      </w:r>
    </w:p>
    <w:p w14:paraId="544008AE" w14:textId="77777777" w:rsidR="00370303" w:rsidRPr="00C517AD" w:rsidRDefault="00370303" w:rsidP="00370303">
      <w:pPr>
        <w:spacing w:after="120" w:line="312" w:lineRule="auto"/>
        <w:rPr>
          <w:rFonts w:ascii="Arial" w:hAnsi="Arial" w:cs="Arial"/>
          <w:color w:val="FF0000"/>
          <w:sz w:val="24"/>
          <w:szCs w:val="24"/>
        </w:rPr>
      </w:pPr>
      <w:r w:rsidRPr="00C517AD">
        <w:rPr>
          <w:rFonts w:ascii="Arial" w:hAnsi="Arial" w:cs="Arial"/>
          <w:sz w:val="24"/>
          <w:szCs w:val="24"/>
        </w:rPr>
        <w:t xml:space="preserve">For the indigenous development of nuclear science and technology, the emphasis on sustainable development, environmental impact and safety are important cross cutting issues. The majority of students who pursue post-graduate and doctoral programs in the R &amp;D units of DAE come from outside the DAE environment. Accordingly, the courses run at the DAE units such as BARC, IGCAR, VECC and RRCAT create adequate awareness on safety issues among the students. </w:t>
      </w:r>
      <w:r>
        <w:rPr>
          <w:rFonts w:ascii="Arial" w:hAnsi="Arial" w:cs="Arial"/>
          <w:sz w:val="24"/>
          <w:szCs w:val="24"/>
        </w:rPr>
        <w:t>Chemical safety, r</w:t>
      </w:r>
      <w:r w:rsidRPr="00C517AD">
        <w:rPr>
          <w:rFonts w:ascii="Arial" w:hAnsi="Arial" w:cs="Arial"/>
          <w:sz w:val="24"/>
          <w:szCs w:val="24"/>
        </w:rPr>
        <w:t>adiation safety</w:t>
      </w:r>
      <w:r>
        <w:rPr>
          <w:rFonts w:ascii="Arial" w:hAnsi="Arial" w:cs="Arial"/>
          <w:sz w:val="24"/>
          <w:szCs w:val="24"/>
        </w:rPr>
        <w:t>,</w:t>
      </w:r>
      <w:r w:rsidRPr="00C517AD">
        <w:rPr>
          <w:rFonts w:ascii="Arial" w:hAnsi="Arial" w:cs="Arial"/>
          <w:sz w:val="24"/>
          <w:szCs w:val="24"/>
        </w:rPr>
        <w:t xml:space="preserve"> reactor safety </w:t>
      </w:r>
      <w:r>
        <w:rPr>
          <w:rFonts w:ascii="Arial" w:hAnsi="Arial" w:cs="Arial"/>
          <w:sz w:val="24"/>
          <w:szCs w:val="24"/>
        </w:rPr>
        <w:t xml:space="preserve">and industrial hygiene </w:t>
      </w:r>
      <w:r w:rsidRPr="00C517AD">
        <w:rPr>
          <w:rFonts w:ascii="Arial" w:hAnsi="Arial" w:cs="Arial"/>
          <w:sz w:val="24"/>
          <w:szCs w:val="24"/>
        </w:rPr>
        <w:t>are dealt with in detail in the courses at introductory level as well as advanced level. Sustainability and environment protection are therefore, invariably knitted into courses. In fact, one specific program run in BARC is PG diploma in Radiation Protection. BARC Training School also runs a program on Radiation Safety which includes courses on Environmental chemistry, Environmental Impact Assessment methodologies, Environment modelling, Radiation risk assessment and Epidemiology.</w:t>
      </w:r>
    </w:p>
    <w:p w14:paraId="1A3A729A" w14:textId="3799CE62" w:rsidR="00A55239" w:rsidRPr="00370303" w:rsidRDefault="00370303" w:rsidP="00370303">
      <w:pPr>
        <w:spacing w:after="120" w:line="312" w:lineRule="auto"/>
        <w:rPr>
          <w:rFonts w:ascii="Arial" w:hAnsi="Arial" w:cs="Arial"/>
          <w:sz w:val="24"/>
          <w:szCs w:val="24"/>
        </w:rPr>
      </w:pPr>
      <w:r w:rsidRPr="00370303">
        <w:rPr>
          <w:rFonts w:ascii="Arial" w:hAnsi="Arial" w:cs="Arial"/>
          <w:sz w:val="24"/>
          <w:szCs w:val="24"/>
        </w:rPr>
        <w:lastRenderedPageBreak/>
        <w:t>As part of programs in Medical and Health sciences, r</w:t>
      </w:r>
      <w:r w:rsidRPr="00C517AD">
        <w:rPr>
          <w:rFonts w:ascii="Arial" w:hAnsi="Arial" w:cs="Arial"/>
          <w:sz w:val="24"/>
          <w:szCs w:val="24"/>
        </w:rPr>
        <w:t>egular courses are held on imparting training in Good Clinical Practice and following ethical principles in the clinic and in the conduct of clinical research.  It is mandatory for all postgraduate students to undergo certificate training in Good Clinical Practice. The PG Diploma and doctoral programs in biology also include courses on bioethics. All efforts are made in the clinics to maintain patient confidentiality and privacy.  TMC also conducts lectures on medical humanities.</w:t>
      </w:r>
    </w:p>
    <w:sectPr w:rsidR="00A55239" w:rsidRPr="003703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03"/>
    <w:rsid w:val="00370303"/>
    <w:rsid w:val="00A552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D76D5"/>
  <w15:chartTrackingRefBased/>
  <w15:docId w15:val="{10BA3B86-F9FF-47C8-ACBF-3932C6D66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3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P.R.Vasudeva Rao</cp:lastModifiedBy>
  <cp:revision>1</cp:revision>
  <dcterms:created xsi:type="dcterms:W3CDTF">2020-05-13T15:50:00Z</dcterms:created>
  <dcterms:modified xsi:type="dcterms:W3CDTF">2020-05-13T15:51:00Z</dcterms:modified>
</cp:coreProperties>
</file>